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同意设置将乐县华兴非金属矿厂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三明市将乐县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华兴非金属矿厂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</w:pP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2024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8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27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日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向我部门提出了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三明市将乐县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华兴非金属矿厂工矿企业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入河排污口设置申请。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经审查，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根据《中华人民共和国行政许可法》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《入河排污口监督管理办法》（生态环境部令第3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5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号）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的规定，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同意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三明市将乐县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华兴非金属矿厂工矿企业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入河排污口设置决定如下：</w:t>
      </w:r>
      <w:bookmarkStart w:id="1" w:name="_GoBack"/>
      <w:bookmarkEnd w:id="1"/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三明市将乐县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华兴非金属矿厂工矿企业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Cs w:val="20"/>
                <w:lang w:val="en-US" w:eastAsia="zh-CN"/>
              </w:rPr>
              <w:t>GC-350428-0054-GY-00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责任主体1名称：（单一责任主体只需记载此项）大田县国有资产投资经营有限责任公司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福建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省（自治区、直辖市）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三明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市（州、盟）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将乐</w:t>
            </w:r>
            <w:r>
              <w:rPr>
                <w:rFonts w:hint="eastAsia"/>
                <w:szCs w:val="21"/>
              </w:rPr>
              <w:t>县（区）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万安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乡（镇、街道）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寺许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91350428724219905G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姓名：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</w:rPr>
              <w:t>宋骏</w:t>
            </w:r>
            <w:r>
              <w:t xml:space="preserve"> </w:t>
            </w:r>
            <w:r>
              <w:rPr>
                <w:color w:val="auto"/>
              </w:rPr>
              <w:t xml:space="preserve">       </w:t>
            </w:r>
            <w:r>
              <w:rPr>
                <w:rFonts w:hint="eastAsia"/>
                <w:color w:val="auto"/>
                <w:szCs w:val="21"/>
              </w:rPr>
              <w:t>联系电话：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</w:rPr>
              <w:t>15988191660</w:t>
            </w:r>
            <w:r>
              <w:rPr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109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石棉及其他非金属矿采选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91350428724219905G001W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福建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省（自治区、直辖市）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三明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市（州、盟）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将乐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县（区、旗）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万安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乡（镇、街道）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寺许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Cs w:val="21"/>
              </w:rPr>
              <w:t>安福口溪石岩头支流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  <w:r>
              <w:rPr>
                <w:rFonts w:hint="eastAsia"/>
                <w:szCs w:val="20"/>
              </w:rPr>
              <w:t>117.462375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0"/>
              </w:rPr>
              <w:t>纬度（十进制精确到小数点后六位，</w:t>
            </w:r>
            <w:r>
              <w:rPr>
                <w:szCs w:val="21"/>
              </w:rPr>
              <w:t>CGCS2000</w:t>
            </w:r>
            <w:r>
              <w:rPr>
                <w:rFonts w:hint="eastAsia"/>
                <w:szCs w:val="21"/>
              </w:rPr>
              <w:t>坐标系</w:t>
            </w:r>
            <w:r>
              <w:rPr>
                <w:rFonts w:hint="eastAsia"/>
                <w:szCs w:val="20"/>
              </w:rPr>
              <w:t>）：26.890411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szCs w:val="20"/>
              </w:rPr>
              <w:t>d=</w:t>
            </w:r>
            <w:r>
              <w:rPr>
                <w:rFonts w:hint="eastAsia"/>
                <w:szCs w:val="20"/>
                <w:lang w:val="en-US" w:eastAsia="zh-CN"/>
              </w:rPr>
              <w:t>1.2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  <w:lang w:val="en-US" w:eastAsia="zh-CN"/>
              </w:rPr>
              <w:t>1.1304</w:t>
            </w:r>
            <w:r>
              <w:rPr>
                <w:szCs w:val="20"/>
              </w:rPr>
              <w:t xml:space="preserve"> 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color w:val="auto"/>
                <w:szCs w:val="20"/>
              </w:rPr>
              <w:t>L×B=   m×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100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 w:cs="Times New Roman"/>
                <w:kern w:val="0"/>
                <w:lang w:bidi="ar"/>
              </w:rPr>
              <w:t>13</w:t>
            </w:r>
            <w:r>
              <w:rPr>
                <w:rFonts w:hint="eastAsia" w:cs="Times New Roman"/>
                <w:kern w:val="0"/>
                <w:lang w:val="en-US" w:eastAsia="zh-CN" w:bidi="ar"/>
              </w:rPr>
              <w:t>.</w:t>
            </w:r>
            <w:r>
              <w:rPr>
                <w:rFonts w:hint="eastAsia" w:cs="Times New Roman"/>
                <w:kern w:val="0"/>
                <w:lang w:bidi="ar"/>
              </w:rPr>
              <w:t>677866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13.678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10993.058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1.099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NH</w:t>
            </w:r>
            <w:r>
              <w:rPr>
                <w:color w:val="auto"/>
                <w:szCs w:val="20"/>
                <w:vertAlign w:val="subscript"/>
              </w:rPr>
              <w:t>3</w:t>
            </w:r>
            <w:r>
              <w:rPr>
                <w:color w:val="auto"/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P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singl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singl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标识牌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/二维码/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显示屏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____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396" w:firstLineChars="200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三明市将乐县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华兴非金属矿厂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EB9D46"/>
    <w:rsid w:val="7FFAE76A"/>
    <w:rsid w:val="7FFD4AC4"/>
    <w:rsid w:val="7FFD8839"/>
    <w:rsid w:val="7FFDB6B7"/>
    <w:rsid w:val="7FFEB9BB"/>
    <w:rsid w:val="7FFF5BAD"/>
    <w:rsid w:val="81EF6378"/>
    <w:rsid w:val="8F7D5A20"/>
    <w:rsid w:val="8FC66A2F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DD04F4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5E2C8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4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2024-12-29T03:38:00Z</dcterms:created>
  <dc:creator>yuyu</dc:creator>
  <cp:lastModifiedBy>海生</cp:lastModifiedBy>
  <cp:lastPrinted>2024-12-28T07:40:00Z</cp:lastPrinted>
  <dcterms:modified xsi:type="dcterms:W3CDTF">2025-03-19T15:07:51Z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