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沙县夏茂镇污水处理厂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  <w:bookmarkStart w:id="1" w:name="_GoBack"/>
      <w:bookmarkEnd w:id="1"/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r>
        <w:rPr>
          <w:rFonts w:hint="default" w:ascii="宋体" w:hAnsi="宋体"/>
          <w:color w:val="auto"/>
          <w:kern w:val="0"/>
          <w:szCs w:val="21"/>
          <w:lang w:val="zh-TW" w:eastAsia="zh-TW"/>
        </w:rPr>
        <w:t>三明市沙县区夏茂镇人民政府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</w:pP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2025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8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highlight w:val="none"/>
          <w:lang w:val="en-US" w:eastAsia="zh-CN"/>
        </w:rPr>
        <w:t>25</w:t>
      </w:r>
      <w:r>
        <w:rPr>
          <w:rFonts w:ascii="宋体" w:hAnsi="宋体" w:eastAsia="宋体"/>
          <w:color w:val="auto"/>
          <w:spacing w:val="-6"/>
          <w:sz w:val="21"/>
          <w:szCs w:val="21"/>
          <w:highlight w:val="none"/>
          <w:lang w:eastAsia="zh-CN"/>
        </w:rPr>
        <w:t>日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向我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局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提出了</w:t>
      </w:r>
      <w:r>
        <w:rPr>
          <w:rFonts w:hint="default" w:ascii="宋体" w:hAnsi="宋体" w:eastAsia="宋体"/>
          <w:color w:val="auto"/>
          <w:spacing w:val="-6"/>
          <w:sz w:val="21"/>
          <w:szCs w:val="21"/>
          <w:lang w:val="en-US" w:eastAsia="zh-CN"/>
        </w:rPr>
        <w:t>夏茂镇集镇污水处理厂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入河排污口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设置申请。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经审查，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根据《中华人民共和国行政许可法》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《入河排污口监督管理办法》（生态环境部令第3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5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号）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的规定，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同意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三明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市沙县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夏茂镇污水处理厂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 w:ascii="Segoe UI Emoji" w:hAnsi="Segoe UI Emoji" w:cs="Segoe UI Emoji"/>
                <w:color w:val="auto"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三明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lang w:val="en-US" w:eastAsia="zh-CN"/>
              </w:rPr>
              <w:t>沙县夏茂镇污水处理厂</w:t>
            </w:r>
            <w:r>
              <w:rPr>
                <w:rFonts w:ascii="宋体" w:hAnsi="宋体" w:eastAsia="宋体"/>
                <w:color w:val="auto"/>
                <w:spacing w:val="-6"/>
                <w:sz w:val="21"/>
                <w:szCs w:val="21"/>
                <w:lang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Cs w:val="20"/>
                <w:lang w:val="en-US" w:eastAsia="zh-CN"/>
              </w:rPr>
              <w:t>GC-350427-0009-SH-00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</w:t>
            </w:r>
            <w:r>
              <w:rPr>
                <w:rFonts w:hint="default" w:ascii="宋体" w:hAnsi="宋体"/>
                <w:color w:val="auto"/>
                <w:kern w:val="0"/>
                <w:szCs w:val="21"/>
                <w:lang w:val="zh-TW" w:eastAsia="zh-TW"/>
              </w:rPr>
              <w:t>三明市沙县区夏茂镇人民政府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福建省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三明市沙县区夏茂镇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highlight w:val="none"/>
              </w:rPr>
              <w:t>113504270037790486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highlight w:val="none"/>
              </w:rPr>
              <w:t>姓名：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朱键钰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15859886013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</w:rPr>
              <w:t>4620.污水处理及其再生利用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szCs w:val="21"/>
              </w:rPr>
              <w:t>尚未申请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福建省三明市沙县区夏茂镇东街村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东溪</w:t>
            </w:r>
            <w:r>
              <w:rPr>
                <w:rFonts w:hint="eastAsia"/>
                <w:color w:val="auto"/>
                <w:szCs w:val="21"/>
                <w:lang w:eastAsia="zh-CN"/>
              </w:rPr>
              <w:t>—夏茂溪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eastAsia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</w:p>
          <w:p>
            <w:pPr>
              <w:pStyle w:val="9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117.678797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°</w:t>
            </w:r>
          </w:p>
          <w:p>
            <w:pPr>
              <w:widowControl/>
              <w:spacing w:line="36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纬度（十进制精确到小数点后六位，</w:t>
            </w:r>
            <w:r>
              <w:rPr>
                <w:szCs w:val="21"/>
              </w:rPr>
              <w:t>CGCS2000</w:t>
            </w:r>
            <w:r>
              <w:rPr>
                <w:rFonts w:hint="eastAsia"/>
                <w:szCs w:val="21"/>
              </w:rPr>
              <w:t>坐标系</w:t>
            </w:r>
            <w:r>
              <w:rPr>
                <w:rFonts w:hint="eastAsia"/>
                <w:szCs w:val="20"/>
              </w:rPr>
              <w:t>）：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26.572256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52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hint="eastAsia" w:ascii="Segoe UI Emoji" w:hAnsi="Segoe UI Emoji" w:cs="Segoe UI Emoji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 w:ascii="Segoe UI Emoji" w:hAnsi="Segoe UI Emoji" w:cs="Segoe UI Emoji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szCs w:val="20"/>
              </w:rPr>
              <w:t>d=</w:t>
            </w:r>
            <w:r>
              <w:rPr>
                <w:rFonts w:hint="eastAsia"/>
                <w:szCs w:val="20"/>
                <w:lang w:val="en-US" w:eastAsia="zh-CN"/>
              </w:rPr>
              <w:t xml:space="preserve">   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  <w:lang w:val="en-US" w:eastAsia="zh-CN"/>
              </w:rPr>
              <w:t xml:space="preserve">   </w:t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52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szCs w:val="20"/>
              </w:rPr>
              <w:t xml:space="preserve">L×B= </w:t>
            </w:r>
            <w:r>
              <w:rPr>
                <w:rFonts w:hint="eastAsia"/>
                <w:szCs w:val="20"/>
                <w:lang w:val="en-US" w:eastAsia="zh-CN"/>
              </w:rPr>
              <w:t>0.5</w:t>
            </w:r>
            <w:r>
              <w:rPr>
                <w:szCs w:val="20"/>
              </w:rPr>
              <w:t>m×</w:t>
            </w:r>
            <w:r>
              <w:rPr>
                <w:rFonts w:hint="eastAsia"/>
                <w:szCs w:val="20"/>
                <w:lang w:val="en-US" w:eastAsia="zh-CN"/>
              </w:rPr>
              <w:t>0.3</w:t>
            </w:r>
            <w:r>
              <w:rPr>
                <w:szCs w:val="20"/>
              </w:rPr>
              <w:t>m</w:t>
            </w:r>
            <w:r>
              <w:rPr>
                <w:rFonts w:hint="eastAsia"/>
                <w:szCs w:val="20"/>
              </w:rPr>
              <w:t>，</w:t>
            </w:r>
            <w:r>
              <w:rPr>
                <w:szCs w:val="20"/>
              </w:rPr>
              <w:t>S=</w:t>
            </w:r>
            <w:r>
              <w:rPr>
                <w:rFonts w:hint="eastAsia"/>
                <w:szCs w:val="20"/>
                <w:lang w:val="en-US" w:eastAsia="zh-CN"/>
              </w:rPr>
              <w:t>0.15</w:t>
            </w:r>
            <w:r>
              <w:rPr>
                <w:szCs w:val="20"/>
              </w:rPr>
              <w:t>m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rFonts w:hint="eastAsia"/>
                <w:color w:val="auto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50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4"/>
                <w:lang w:val="en-US" w:eastAsia="zh-CN"/>
              </w:rPr>
              <w:t>29.2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14.6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800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BOD</w:t>
            </w:r>
            <w:r>
              <w:rPr>
                <w:rFonts w:hint="eastAsia"/>
                <w:szCs w:val="20"/>
                <w:vertAlign w:val="subscript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2.92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szCs w:val="20"/>
              </w:rPr>
              <w:t>NH</w:t>
            </w:r>
            <w:r>
              <w:rPr>
                <w:szCs w:val="20"/>
                <w:vertAlign w:val="subscript"/>
              </w:rPr>
              <w:t>3</w:t>
            </w:r>
            <w:r>
              <w:rPr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1.46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4.38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T</w:t>
            </w:r>
            <w:r>
              <w:rPr>
                <w:szCs w:val="20"/>
              </w:rPr>
              <w:t>P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Times New Roman" w:cs="Times New Roman"/>
                <w:color w:val="000000" w:themeColor="text1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4"/>
                <w:lang w:val="en-US" w:eastAsia="zh-CN"/>
              </w:rPr>
              <w:t>0.146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0.0004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SS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4"/>
                <w:lang w:val="en-US" w:eastAsia="zh-CN"/>
              </w:rPr>
              <w:t>2.92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szCs w:val="20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non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等信息应以标识牌等方式在入河排污口处信息公开。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zh-TW" w:eastAsia="zh-TW"/>
              </w:rPr>
              <w:t>三明市沙县区夏茂镇人民政府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若出现水质严重恶化或者水体纳污能力不足等紧急情况时，你单位必须服从相关的管理要求限制或停止排放，确保河流水质安全。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为减免该入河排污口设置带来的不利影响，入河排污口设置/使用过程中应当采取监测、巡查、预警等水生态环境保护措施。你单位应按照《入河入海排污口监督管理技术指南 监测》（HJ 1387-2024）要求开展自行监测，每半年监测一次，监测因子包括流量、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val="en-US" w:eastAsia="zh-CN"/>
              </w:rPr>
              <w:t>pH值、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化学需氧量、五日生化需氧量、氨氮、总氮、总磷。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ADD2790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EACFF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5E0196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2F3ACF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EB9D46"/>
    <w:rsid w:val="7FFAE76A"/>
    <w:rsid w:val="7FFD4AC4"/>
    <w:rsid w:val="7FFD8839"/>
    <w:rsid w:val="7FFDB6B7"/>
    <w:rsid w:val="7FFEB9BB"/>
    <w:rsid w:val="7FFF5BAD"/>
    <w:rsid w:val="81EF6378"/>
    <w:rsid w:val="8F7D5A20"/>
    <w:rsid w:val="8FC66A2F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EF2F920"/>
    <w:rsid w:val="BF86707D"/>
    <w:rsid w:val="BFBDC979"/>
    <w:rsid w:val="C2FEE2C7"/>
    <w:rsid w:val="CCBB2747"/>
    <w:rsid w:val="CDBD2303"/>
    <w:rsid w:val="CDDD04F4"/>
    <w:rsid w:val="CDEF5761"/>
    <w:rsid w:val="CEFE154A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5E2C8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表格内正文1"/>
    <w:basedOn w:val="1"/>
    <w:next w:val="1"/>
    <w:qFormat/>
    <w:uiPriority w:val="0"/>
    <w:pPr>
      <w:spacing w:after="0"/>
      <w:jc w:val="center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3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2024-12-30T11:38:00Z</dcterms:created>
  <dc:creator>yuyu</dc:creator>
  <cp:lastModifiedBy>海生</cp:lastModifiedBy>
  <cp:lastPrinted>2024-12-29T15:40:00Z</cp:lastPrinted>
  <dcterms:modified xsi:type="dcterms:W3CDTF">2025-12-02T11:46:15Z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